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青岛解放汽车总装厂信息化管理系统</w:t>
      </w:r>
    </w:p>
    <w:p>
      <w:pPr>
        <w:spacing w:before="0" w:after="200" w:line="276"/>
        <w:ind w:right="0" w:left="0" w:firstLine="0"/>
        <w:jc w:val="both"/>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    青岛解放汽车总装厂信息化管理系统是由北京瑞泰时科技有限公司自主研发的产品，在青岛解放汽车总装厂生产管理系统中起到承上启下的作用，本系统从上位系统中接收生产参数，向下位机转发，其中鑫捷瑞加注机、大连嘉禾拧紧机采用数据库通讯方式，英格索兰拧紧机采用TCP/IP通讯方式，并实时监控下位机运行状态，记录生产过程数据。本系统还提供标准报表以及用户自定义报表，并且提供报警分析以及生产过程追溯等功能，方便用户对过程数据进行分析。另外，本系统提供SPC功能，为用户提供折线图、散点图、柱状图等，为用户的生产管理提供便利。</w:t>
      </w:r>
    </w:p>
    <w:p>
      <w:pPr>
        <w:spacing w:before="0" w:after="200" w:line="240"/>
        <w:ind w:right="0" w:left="0" w:firstLine="0"/>
        <w:jc w:val="both"/>
        <w:rPr>
          <w:rFonts w:ascii="宋体" w:hAnsi="宋体" w:cs="宋体" w:eastAsia="宋体"/>
          <w:color w:val="auto"/>
          <w:spacing w:val="0"/>
          <w:position w:val="0"/>
          <w:sz w:val="22"/>
          <w:shd w:fill="auto" w:val="clear"/>
        </w:rPr>
      </w:pPr>
      <w:r>
        <w:object w:dxaOrig="8115" w:dyaOrig="6105">
          <v:rect xmlns:o="urn:schemas-microsoft-com:office:office" xmlns:v="urn:schemas-microsoft-com:vml" id="rectole0000000000" style="width:405.750000pt;height:30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200" w:line="240"/>
        <w:ind w:right="0" w:left="0" w:firstLine="0"/>
        <w:jc w:val="both"/>
        <w:rPr>
          <w:rFonts w:ascii="宋体" w:hAnsi="宋体" w:cs="宋体" w:eastAsia="宋体"/>
          <w:color w:val="auto"/>
          <w:spacing w:val="0"/>
          <w:position w:val="0"/>
          <w:sz w:val="22"/>
          <w:shd w:fill="auto" w:val="clear"/>
        </w:rPr>
      </w:pPr>
      <w:r>
        <w:object w:dxaOrig="8175" w:dyaOrig="6150">
          <v:rect xmlns:o="urn:schemas-microsoft-com:office:office" xmlns:v="urn:schemas-microsoft-com:vml" id="rectole0000000001" style="width:408.750000pt;height:307.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p>
    <w:p>
      <w:pPr>
        <w:spacing w:before="0" w:after="200" w:line="240"/>
        <w:ind w:right="0" w:left="0" w:firstLine="0"/>
        <w:jc w:val="both"/>
        <w:rPr>
          <w:rFonts w:ascii="宋体" w:hAnsi="宋体" w:cs="宋体" w:eastAsia="宋体"/>
          <w:color w:val="auto"/>
          <w:spacing w:val="0"/>
          <w:position w:val="0"/>
          <w:sz w:val="22"/>
          <w:shd w:fill="auto" w:val="clear"/>
        </w:rPr>
      </w:pPr>
      <w:r>
        <w:object w:dxaOrig="8280" w:dyaOrig="6224">
          <v:rect xmlns:o="urn:schemas-microsoft-com:office:office" xmlns:v="urn:schemas-microsoft-com:vml" id="rectole0000000002" style="width:414.000000pt;height:311.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Dib" DrawAspect="Content" ObjectID="0000000002" ShapeID="rectole0000000002" r:id="docRId4"/>
        </w:object>
      </w:r>
    </w:p>
    <w:p>
      <w:pPr>
        <w:spacing w:before="0" w:after="200" w:line="240"/>
        <w:ind w:right="0" w:left="0" w:firstLine="0"/>
        <w:jc w:val="both"/>
        <w:rPr>
          <w:rFonts w:ascii="宋体" w:hAnsi="宋体" w:cs="宋体" w:eastAsia="宋体"/>
          <w:color w:val="auto"/>
          <w:spacing w:val="0"/>
          <w:position w:val="0"/>
          <w:sz w:val="22"/>
          <w:shd w:fill="auto" w:val="clear"/>
        </w:rPr>
      </w:pPr>
    </w:p>
    <w:p>
      <w:pPr>
        <w:spacing w:before="0" w:after="200" w:line="240"/>
        <w:ind w:right="0" w:left="0" w:firstLine="0"/>
        <w:jc w:val="both"/>
        <w:rPr>
          <w:rFonts w:ascii="宋体" w:hAnsi="宋体" w:cs="宋体" w:eastAsia="宋体"/>
          <w:color w:val="auto"/>
          <w:spacing w:val="0"/>
          <w:position w:val="0"/>
          <w:sz w:val="22"/>
          <w:shd w:fill="auto" w:val="clear"/>
        </w:rPr>
      </w:pPr>
    </w:p>
    <w:p>
      <w:pPr>
        <w:spacing w:before="0" w:after="200" w:line="276"/>
        <w:ind w:right="0" w:left="0" w:firstLine="0"/>
        <w:jc w:val="both"/>
        <w:rPr>
          <w:rFonts w:ascii="宋体" w:hAnsi="宋体" w:cs="宋体" w:eastAsia="宋体"/>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